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9" w:lineRule="auto"/>
        <w:ind w:left="507" w:right="10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AL-FARABI KAZAKH NATIONAL UNIVERSITY</w:t>
      </w:r>
    </w:p>
    <w:p w:rsidR="00000000" w:rsidDel="00000000" w:rsidP="00000000" w:rsidRDefault="00000000" w:rsidRPr="00000000" w14:paraId="00000002">
      <w:pPr>
        <w:spacing w:before="264" w:line="261" w:lineRule="auto"/>
        <w:ind w:left="2474" w:right="299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Higher School of Medicine Department of Fundamental Medicine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776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AFFIRM</w:t>
      </w:r>
    </w:p>
    <w:p w:rsidR="00000000" w:rsidDel="00000000" w:rsidP="00000000" w:rsidRDefault="00000000" w:rsidRPr="00000000" w14:paraId="00000005">
      <w:pPr>
        <w:spacing w:before="264" w:lineRule="auto"/>
        <w:ind w:right="782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Dean of the Faculty</w:t>
      </w:r>
    </w:p>
    <w:p w:rsidR="00000000" w:rsidDel="00000000" w:rsidP="00000000" w:rsidRDefault="00000000" w:rsidRPr="00000000" w14:paraId="00000006">
      <w:pPr>
        <w:tabs>
          <w:tab w:val="left" w:pos="2231"/>
        </w:tabs>
        <w:spacing w:before="269" w:lineRule="auto"/>
        <w:ind w:right="775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_ (signature)</w:t>
      </w:r>
    </w:p>
    <w:p w:rsidR="00000000" w:rsidDel="00000000" w:rsidP="00000000" w:rsidRDefault="00000000" w:rsidRPr="00000000" w14:paraId="00000007">
      <w:pPr>
        <w:tabs>
          <w:tab w:val="left" w:pos="7304"/>
          <w:tab w:val="left" w:pos="8508"/>
        </w:tabs>
        <w:spacing w:before="263" w:line="436" w:lineRule="auto"/>
        <w:ind w:left="6310" w:right="778" w:firstLine="787.0000000000005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Kalmatayeva Z.A. "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"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_ 2021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245" w:lineRule="auto"/>
        <w:ind w:left="510" w:right="10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EDUCATIONAL AND METHODICAL COMPLEX OF DISCIPLINE</w:t>
      </w:r>
    </w:p>
    <w:p w:rsidR="00000000" w:rsidDel="00000000" w:rsidP="00000000" w:rsidRDefault="00000000" w:rsidRPr="00000000" w14:paraId="0000000A">
      <w:pPr>
        <w:spacing w:before="104" w:lineRule="auto"/>
        <w:ind w:right="367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…….. Cell and molecular pathobiology </w:t>
      </w:r>
    </w:p>
    <w:p w:rsidR="00000000" w:rsidDel="00000000" w:rsidP="00000000" w:rsidRDefault="00000000" w:rsidRPr="00000000" w14:paraId="0000000B">
      <w:pPr>
        <w:spacing w:before="104" w:lineRule="auto"/>
        <w:ind w:right="367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Specialty "....."</w:t>
      </w:r>
    </w:p>
    <w:p w:rsidR="00000000" w:rsidDel="00000000" w:rsidP="00000000" w:rsidRDefault="00000000" w:rsidRPr="00000000" w14:paraId="0000000C">
      <w:pPr>
        <w:spacing w:line="320" w:lineRule="auto"/>
        <w:ind w:right="524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Educational program “..........”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65" w:lineRule="auto"/>
        <w:ind w:left="509" w:right="10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Course – ...</w:t>
      </w:r>
    </w:p>
    <w:p w:rsidR="00000000" w:rsidDel="00000000" w:rsidP="00000000" w:rsidRDefault="00000000" w:rsidRPr="00000000" w14:paraId="0000000F">
      <w:pPr>
        <w:spacing w:before="269" w:lineRule="auto"/>
        <w:ind w:left="509" w:right="10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Semester – ….</w:t>
      </w:r>
    </w:p>
    <w:p w:rsidR="00000000" w:rsidDel="00000000" w:rsidP="00000000" w:rsidRDefault="00000000" w:rsidRPr="00000000" w14:paraId="00000010">
      <w:pPr>
        <w:spacing w:before="263" w:lineRule="auto"/>
        <w:ind w:left="509" w:right="10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Number of credits – …. (ECTS ...)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524"/>
        <w:jc w:val="center"/>
        <w:rPr>
          <w:b w:val="1"/>
          <w:sz w:val="24"/>
          <w:szCs w:val="24"/>
        </w:rPr>
        <w:sectPr>
          <w:pgSz w:h="16840" w:w="11900" w:orient="portrait"/>
          <w:pgMar w:bottom="280" w:top="1360" w:left="1180" w:right="660" w:header="360" w:footer="360"/>
          <w:pgNumType w:start="1"/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Аlmaty 2021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="436" w:lineRule="auto"/>
        <w:ind w:left="976" w:right="1502"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Educational and methodical complex of discipline was compiled by Doctor of Medical Sciences,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???????,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05" w:right="1027"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Based on the working curriculum in the specialty 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????????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="261" w:lineRule="auto"/>
        <w:ind w:left="502" w:right="102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Considered and recommended at a meeting of the department fundamental medicine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146"/>
          <w:tab w:val="left" w:pos="3351"/>
        </w:tabs>
        <w:spacing w:before="234" w:lineRule="auto"/>
        <w:ind w:right="508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from "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"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2021, protocol No. ...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991"/>
          <w:tab w:val="left" w:pos="5427"/>
        </w:tabs>
        <w:ind w:right="519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Head of the department</w:t>
        <w:tab/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Sarsenova L.K.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4" w:lineRule="auto"/>
        <w:ind w:left="2961" w:right="102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(signature)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32"/>
          <w:tab w:val="left" w:pos="2515"/>
          <w:tab w:val="left" w:pos="3287"/>
        </w:tabs>
        <w:spacing w:line="256" w:lineRule="auto"/>
        <w:ind w:left="260" w:right="436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Recommended by the faculty methodical bureau "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"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 20</w:t>
        <w:tab/>
        <w:t xml:space="preserve">, protocol No.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  <w:sectPr>
          <w:type w:val="nextPage"/>
          <w:pgSz w:h="16840" w:w="11900" w:orient="portrait"/>
          <w:pgMar w:bottom="280" w:top="1580" w:left="1180" w:right="66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3113"/>
          <w:tab w:val="left" w:pos="7047"/>
        </w:tabs>
        <w:spacing w:before="87" w:line="256" w:lineRule="auto"/>
        <w:ind w:left="260" w:right="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Chairman of the method bureau of the faculty </w:t>
      </w: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name</w:t>
        <w:tab/>
        <w:t xml:space="preserve">(signature)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Rule="auto"/>
        <w:ind w:left="260" w:firstLine="0"/>
        <w:rPr>
          <w:color w:val="000000"/>
          <w:sz w:val="24"/>
          <w:szCs w:val="24"/>
        </w:rPr>
        <w:sectPr>
          <w:type w:val="continuous"/>
          <w:pgSz w:h="16840" w:w="11900" w:orient="portrait"/>
          <w:pgMar w:bottom="280" w:top="1360" w:left="1180" w:right="660" w:header="360" w:footer="360"/>
          <w:cols w:equalWidth="0" w:num="2">
            <w:col w:space="143" w:w="4958.5"/>
            <w:col w:space="0" w:w="4958.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Full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5" w:lineRule="auto"/>
        <w:ind w:left="1922" w:right="2435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Kazakh National University named after Al-Farabi Faculty of basic discipline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21" w:lineRule="auto"/>
        <w:ind w:left="500" w:right="1027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Department of Fundamental Medicine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3799" w:right="4319" w:firstLine="466.000000000000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Syllabus 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6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Information about Academic course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6.0" w:type="dxa"/>
        <w:jc w:val="left"/>
        <w:tblInd w:w="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5"/>
        <w:gridCol w:w="1882"/>
        <w:gridCol w:w="927"/>
        <w:gridCol w:w="1290"/>
        <w:gridCol w:w="1725"/>
        <w:gridCol w:w="1244"/>
        <w:gridCol w:w="1023"/>
        <w:tblGridChange w:id="0">
          <w:tblGrid>
            <w:gridCol w:w="1705"/>
            <w:gridCol w:w="1882"/>
            <w:gridCol w:w="927"/>
            <w:gridCol w:w="1290"/>
            <w:gridCol w:w="1725"/>
            <w:gridCol w:w="1244"/>
            <w:gridCol w:w="1023"/>
          </w:tblGrid>
        </w:tblGridChange>
      </w:tblGrid>
      <w:tr>
        <w:trPr>
          <w:cantSplit w:val="0"/>
          <w:trHeight w:val="52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3" w:lineRule="auto"/>
              <w:ind w:left="100" w:right="23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Discipline’s code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3" w:lineRule="auto"/>
              <w:ind w:left="100" w:right="4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Discipline’s title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3" w:lineRule="auto"/>
              <w:ind w:left="1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Type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3" w:lineRule="auto"/>
              <w:ind w:left="9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Hours per week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3" w:lineRule="auto"/>
              <w:ind w:left="71" w:right="11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Number of credits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3" w:lineRule="auto"/>
              <w:ind w:left="1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ECTS</w:t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8" w:lineRule="auto"/>
              <w:ind w:left="199" w:right="20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Lect.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8" w:line="242" w:lineRule="auto"/>
              <w:ind w:left="306" w:right="111" w:hanging="173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Pract.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9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10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????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2" w:line="242" w:lineRule="auto"/>
              <w:ind w:left="100" w:right="4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33e60"/>
                <w:sz w:val="24"/>
                <w:szCs w:val="24"/>
                <w:rtl w:val="0"/>
              </w:rPr>
              <w:t xml:space="preserve">Cell and molecular pathobiology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4" w:lineRule="auto"/>
              <w:ind w:left="268" w:right="24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???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4" w:lineRule="auto"/>
              <w:ind w:left="4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4" w:lineRule="auto"/>
              <w:ind w:left="24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4" w:lineRule="auto"/>
              <w:ind w:right="18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???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4" w:lineRule="auto"/>
              <w:ind w:left="1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???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4" w:lineRule="auto"/>
              <w:ind w:left="8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Teacher 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="242" w:lineRule="auto"/>
              <w:ind w:left="81" w:right="67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Mussazhanova Zhanna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MD,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4" w:lineRule="auto"/>
              <w:ind w:left="8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Office hours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="242" w:lineRule="auto"/>
              <w:ind w:left="76" w:right="70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According to schedule</w:t>
            </w:r>
          </w:p>
        </w:tc>
      </w:tr>
      <w:tr>
        <w:trPr>
          <w:cantSplit w:val="0"/>
          <w:trHeight w:val="484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9" w:lineRule="auto"/>
              <w:ind w:left="8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4" w:lineRule="auto"/>
              <w:ind w:left="8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ussazhanova.zh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8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9" w:lineRule="auto"/>
              <w:ind w:left="81" w:right="65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Phone number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4" w:lineRule="auto"/>
              <w:ind w:left="8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9" w:lineRule="auto"/>
              <w:ind w:left="8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Auditorium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4" w:lineRule="auto"/>
              <w:ind w:left="76" w:right="63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Faculty of Medicine and Health</w:t>
            </w:r>
          </w:p>
        </w:tc>
      </w:tr>
      <w:tr>
        <w:trPr>
          <w:cantSplit w:val="0"/>
          <w:trHeight w:val="801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4" w:lineRule="auto"/>
              <w:ind w:left="8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Teacher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81" w:right="26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4" w:lineRule="auto"/>
              <w:ind w:left="8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Office hours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76" w:right="70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According to schedule</w:t>
            </w:r>
          </w:p>
        </w:tc>
      </w:tr>
      <w:tr>
        <w:trPr>
          <w:cantSplit w:val="0"/>
          <w:trHeight w:val="485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9" w:lineRule="auto"/>
              <w:ind w:left="8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4" w:lineRule="auto"/>
              <w:ind w:left="8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2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4" w:lineRule="auto"/>
              <w:ind w:left="81" w:right="65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Phone number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15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4" w:lineRule="auto"/>
              <w:ind w:left="8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Auditorium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="242" w:lineRule="auto"/>
              <w:ind w:left="76" w:right="63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9.0" w:type="dxa"/>
        <w:jc w:val="left"/>
        <w:tblInd w:w="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6"/>
        <w:gridCol w:w="8033"/>
        <w:tblGridChange w:id="0">
          <w:tblGrid>
            <w:gridCol w:w="1796"/>
            <w:gridCol w:w="8033"/>
          </w:tblGrid>
        </w:tblGridChange>
      </w:tblGrid>
      <w:tr>
        <w:trPr>
          <w:cantSplit w:val="0"/>
          <w:trHeight w:val="2779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8" w:lineRule="auto"/>
              <w:ind w:left="100" w:right="297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02020"/>
                <w:sz w:val="24"/>
                <w:szCs w:val="24"/>
                <w:rtl w:val="0"/>
              </w:rPr>
              <w:t xml:space="preserve">The Program of the Course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4" w:line="242" w:lineRule="auto"/>
              <w:ind w:left="100" w:right="93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Course type: </w:t>
            </w:r>
            <w:r w:rsidDel="00000000" w:rsidR="00000000" w:rsidRPr="00000000">
              <w:rPr>
                <w:color w:val="202020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Cell and molecular pathobiology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” module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right="8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02020"/>
                <w:sz w:val="24"/>
                <w:szCs w:val="24"/>
                <w:rtl w:val="0"/>
              </w:rPr>
              <w:t xml:space="preserve">The aim of the Discipline</w:t>
            </w:r>
            <w:r w:rsidDel="00000000" w:rsidR="00000000" w:rsidRPr="00000000">
              <w:rPr>
                <w:color w:val="202020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171717"/>
                <w:sz w:val="24"/>
                <w:szCs w:val="24"/>
                <w:rtl w:val="0"/>
              </w:rPr>
              <w:t xml:space="preserve">состоит в том, чтобы предоставить студентам комплексное изучение клеточной и молекулярной патобиологии в случае развития и исходов заболеваний; понимание нормальной молекулярной биологии и патобиологии заболеваний, развивающихся из-за неадекватности молекулярно-генетической системы.;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jc w:val="both"/>
        <w:rPr>
          <w:sz w:val="24"/>
          <w:szCs w:val="24"/>
        </w:rPr>
        <w:sectPr>
          <w:type w:val="nextPage"/>
          <w:pgSz w:h="16840" w:w="11900" w:orient="portrait"/>
          <w:pgMar w:bottom="280" w:top="1340" w:left="1180" w:right="66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9.0" w:type="dxa"/>
        <w:jc w:val="left"/>
        <w:tblInd w:w="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6"/>
        <w:gridCol w:w="8033"/>
        <w:tblGridChange w:id="0">
          <w:tblGrid>
            <w:gridCol w:w="1796"/>
            <w:gridCol w:w="8033"/>
          </w:tblGrid>
        </w:tblGridChange>
      </w:tblGrid>
      <w:tr>
        <w:trPr>
          <w:cantSplit w:val="0"/>
          <w:trHeight w:val="6675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3" w:lineRule="auto"/>
              <w:ind w:right="95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171717"/>
                <w:sz w:val="24"/>
                <w:szCs w:val="24"/>
                <w:rtl w:val="0"/>
              </w:rPr>
              <w:t xml:space="preserve">обеспечить стимулирующую и стимулирующую учебную среду, в которой преподавание основывается и дополняется исследованиями, а также обеспечить обучение научным принципам и опыту в области оценки и практики исследований.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1" w:lineRule="auto"/>
              <w:ind w:left="10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After completing this course students will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right="102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Demonstrate knowledge of the basic concepts of general cell and molecular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biology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right="96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Demonstrate knowledge of the pathological processes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in cell molecular biology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of human diseases. General principles of construction of biomedical experiments.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right="9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Demonstrate analytical skills in the integration of knowledge on patho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bio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logy in the formation of judgments regarding general molecular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biology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right="43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Interpret the results of specific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molecular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diagnostic methods. Effectively communicate with other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students,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researchers and teachers regarding medical and scientific information, articulate their opinions clearly when discussing cellular and molecular patho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bio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logical processes and their impact, and work effectively as a member of the research team.</w:t>
            </w:r>
          </w:p>
        </w:tc>
      </w:tr>
      <w:tr>
        <w:trPr>
          <w:cantSplit w:val="0"/>
          <w:trHeight w:val="522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3" w:lineRule="auto"/>
              <w:ind w:left="1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3" w:lineRule="auto"/>
              <w:ind w:left="1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Структура и молекулярная биология клетки, генома человека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4" w:lineRule="auto"/>
              <w:ind w:left="1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Postrequisites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4" w:lineRule="auto"/>
              <w:ind w:left="1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Клеточная и молекулярная патология. Человеческие болезни.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1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3" w:lineRule="auto"/>
              <w:ind w:left="100" w:right="33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Information resources</w:t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3" w:line="322" w:lineRule="auto"/>
              <w:ind w:left="10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Basic literature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89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Human Genetics, Ricki Lewis. 2018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89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Medical Genetics at a Glance, Dorian J.Pritchard, Bruce R.Korf. 2013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89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Basic pathology,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Robbins and Cotran Pathologic Basis of Disease [Electronic resource]: textbook / ed.: V. Kumar, A. Abbas, J. Aster. - Philadelphia : Elsevier Saunders, 2015. - 1392 p. - ISBN 978-1-4557-2613-4 : 0.00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0" w:right="89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jc w:val="both"/>
        <w:rPr>
          <w:sz w:val="24"/>
          <w:szCs w:val="24"/>
        </w:rPr>
        <w:sectPr>
          <w:type w:val="continuous"/>
          <w:pgSz w:h="16840" w:w="11900" w:orient="portrait"/>
          <w:pgMar w:bottom="280" w:top="1420" w:left="1180" w:right="66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29.0" w:type="dxa"/>
        <w:jc w:val="left"/>
        <w:tblInd w:w="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6"/>
        <w:gridCol w:w="8033"/>
        <w:tblGridChange w:id="0">
          <w:tblGrid>
            <w:gridCol w:w="1796"/>
            <w:gridCol w:w="8033"/>
          </w:tblGrid>
        </w:tblGridChange>
      </w:tblGrid>
      <w:tr>
        <w:trPr>
          <w:cantSplit w:val="0"/>
          <w:trHeight w:val="5055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319" w:lineRule="auto"/>
              <w:ind w:left="100" w:firstLine="0"/>
              <w:jc w:val="both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Additional literature: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31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Zhanna Mussazhanova et al.  The Contribution of Genetic Variants to the Risk of Papillary Thyroid Carcinoma in the Kazakh Population: Study of Common Single Nucleotide Polymorphisms and Their Clinicopathological Correlations. Front Endocrinol 2021 doi: 10.3389/fendo.2020.543500.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Zhanna Mussazhanova, et al. Immunohistochemical and Molecular Analyses Focusing on Mesenchymal Cells in Papillary Thyroid Carcinoma with Desmoid-Type Fibromatosis. Pathobiology. 2018. DOI: 10.1159/000492117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Maria Romano et al. A Structural View of SARS-CoV-2 RNA Replication Machinery: RNA Synthesis, Proofreading and Final Capping. Cell. 2020. doi:10.3390/cells9051267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Adriaan H. de Wilde et al. Host Factors in Coronavirus Replication. Microbiology and Immunology. 2018. DOI 10.1007/82_2017_25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6"/>
              </w:numPr>
              <w:ind w:left="720" w:right="814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Zhanna Mussazhanova, et al.  Association between p53-binding protein 1 expression and genomic instability in oncocytic follicular adenoma of the thyroid. Endocr J. 2016 doi: 10.1507/endocrj.EJ15-0629.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Zhanna Mussazhanova, et al. A Novel Diagnostic Method for Thyroid Follicular Tumors Based on Immunofluorescence Analysis of p53-Binding Protein 1 Expression: Detection of Genomic Instability. Thyroid. 2019. doi: 10.1089/thy.2018.0548.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9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Zhanna Mussazhanova et al. Causative role for defective expression of mitochondria-eating protein in accumulation of mitochondria in thyroid oncocytic cell tumors. Cancer Sci. 2020. doi:10.1111/cas.14501.</w:t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="319" w:lineRule="auto"/>
              <w:ind w:left="10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Online resources: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19" w:lineRule="auto"/>
              <w:ind w:left="10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Set of video-lectures on Univer system KazNU</w:t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22" w:lineRule="auto"/>
              <w:ind w:left="1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 </w:t>
            </w:r>
            <w:hyperlink r:id="rId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www.lecturio.com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.textbooks on bookshelf of the department</w:t>
            </w:r>
          </w:p>
        </w:tc>
      </w:tr>
      <w:tr>
        <w:trPr>
          <w:cantSplit w:val="0"/>
          <w:trHeight w:val="503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Академическая политики курса в контексте моральных и этических ценностей университета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F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Академическая честность.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1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Политика посещаемости.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Обучающиеся обязаны посещать занятия. Для повышения итоговой оценки курса рекомендуется участие во внеклассных исследованиях.  Участие в дополнительных исследованиях не является обязательным условием, но полезно для усвоения программы курса.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1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Групповая работа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Все обучающиеся должны участвовать в групповой работе и обсуждениях.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1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Классная деятельность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Мобильные телефоны, Интернет и компьютерные услуги строго запрещены во время лекций и семинаров.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Сдача рубежного контроля и экзаменов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 наличии подтверждающих документов, обучающийся может пересдать пропущенные рубежный контроль в согласованную дату. Иные причины (причины без официальных документов, подтверждающих ситуацию) не принимаются. Пропуск итогового контроля регистрируется в соответствии с Академической политикой КазНУ.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Крайний срок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Просроченные задания, проекты, отчеты и другие формы контроля без уважительной причины не принимаются.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Политика апелляции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Студенты могут обжаловать решения преподавателя, непосредственно на занятии или сразу после контрольного занятия. Если решение не найдено, можно проконсультироваться с руководителем кафедры.</w:t>
            </w:r>
          </w:p>
          <w:p w:rsidR="00000000" w:rsidDel="00000000" w:rsidP="00000000" w:rsidRDefault="00000000" w:rsidRPr="00000000" w14:paraId="000000AC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Апелляция по результатам итогового контроля (экзамена) проводится согласно Академической политики КазНУ им. Аль-Фараби.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Электронные ресурсы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Студент должен регулярно проверять свою электронную почту на предмет обновлений курса и объявлений.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1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Плагиат и анализ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Обучающиеся должны придерживаться правил академической честности. За любую форму мошенничества, плагиата, обмана или академической нечестности студенту будет выставлен 0 баллов без возможности повторной сдачи, согласно Академической политике КазНУ им. Аль-Фараби.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Правила академического поведения: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Обучающиеся обязаны соблюдать Кодекс Чести студента КазНУ им. Аль-Фараби. </w:t>
            </w:r>
          </w:p>
        </w:tc>
      </w:tr>
    </w:tbl>
    <w:p w:rsidR="00000000" w:rsidDel="00000000" w:rsidP="00000000" w:rsidRDefault="00000000" w:rsidRPr="00000000" w14:paraId="000000B3">
      <w:pPr>
        <w:rPr>
          <w:sz w:val="24"/>
          <w:szCs w:val="24"/>
        </w:rPr>
        <w:sectPr>
          <w:type w:val="continuous"/>
          <w:pgSz w:h="16840" w:w="11900" w:orient="portrait"/>
          <w:pgMar w:bottom="280" w:top="1420" w:left="1180" w:right="66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29.0" w:type="dxa"/>
        <w:jc w:val="left"/>
        <w:tblInd w:w="2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96"/>
        <w:gridCol w:w="8033"/>
        <w:tblGridChange w:id="0">
          <w:tblGrid>
            <w:gridCol w:w="1796"/>
            <w:gridCol w:w="8033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Политика оценивания и аттестации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6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Критериальное оценивание: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оценка результатов обучения в соответствии с критериями, проверка компетентности в рамках рубежного контроля и экзаменов по результатам обучения курса.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Письменный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/ устный опрос/собеседование - текущий / рубежный контроль: результат обучения № 1-5</w:t>
            </w:r>
          </w:p>
          <w:p w:rsidR="00000000" w:rsidDel="00000000" w:rsidP="00000000" w:rsidRDefault="00000000" w:rsidRPr="00000000" w14:paraId="000000B8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Групповое решение задач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(кейсы) - текущий контроль: результат обучения № 1-8 </w:t>
            </w:r>
          </w:p>
          <w:p w:rsidR="00000000" w:rsidDel="00000000" w:rsidP="00000000" w:rsidRDefault="00000000" w:rsidRPr="00000000" w14:paraId="000000B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Прямое наблюдение -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текущий контроль / СРС: результаты обучения № 7-8</w:t>
            </w:r>
          </w:p>
          <w:p w:rsidR="00000000" w:rsidDel="00000000" w:rsidP="00000000" w:rsidRDefault="00000000" w:rsidRPr="00000000" w14:paraId="000000B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Рефлексивное эссе –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рубежный / итоговый контроль: результаты обучения № 1-8</w:t>
            </w:r>
          </w:p>
          <w:p w:rsidR="00000000" w:rsidDel="00000000" w:rsidP="00000000" w:rsidRDefault="00000000" w:rsidRPr="00000000" w14:paraId="000000BB">
            <w:pPr>
              <w:widowControl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Проект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рубежный/итоговый контроль: результаты обучения № 1-8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Итоговая оценка: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 рамках курса планируется будет проведено 3 рубежных контроля: РК1, МТ, РК2.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Рейтинг допуска к заключительному экзамену: РД = (РК1 + МТ + РК2) / 3, где РК1 / РК2 / МТ = сумма всех баллов за рубежные контроли и задания CPC за соответствующий период: РК1-1-5 недели, МТ-6-10 недели, РК2-11-15 недели. </w:t>
            </w:r>
          </w:p>
          <w:p w:rsidR="00000000" w:rsidDel="00000000" w:rsidP="00000000" w:rsidRDefault="00000000" w:rsidRPr="00000000" w14:paraId="000000BF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Итоговый контроль (экзамен) осуществляется в 2 этапа: Проект (ИК1) и рефлексивное эссе (ИК2)</w:t>
            </w:r>
          </w:p>
          <w:p w:rsidR="00000000" w:rsidDel="00000000" w:rsidP="00000000" w:rsidRDefault="00000000" w:rsidRPr="00000000" w14:paraId="000000C0">
            <w:pPr>
              <w:widowControl w:val="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Итоговая оценка по дисциплине = РД * 0,6 + ИК1* 0,2 + ИК2*0.2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>
          <w:sz w:val="24"/>
          <w:szCs w:val="24"/>
        </w:rPr>
        <w:sectPr>
          <w:type w:val="continuous"/>
          <w:pgSz w:h="16840" w:w="11900" w:orient="portrait"/>
          <w:pgMar w:bottom="280" w:top="1420" w:left="1180" w:right="66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Календарь (график) реализации содержания курса.</w:t>
      </w:r>
    </w:p>
    <w:p w:rsidR="00000000" w:rsidDel="00000000" w:rsidP="00000000" w:rsidRDefault="00000000" w:rsidRPr="00000000" w14:paraId="000000C3">
      <w:pPr>
        <w:spacing w:before="59" w:lineRule="auto"/>
        <w:ind w:left="497" w:right="1027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(Cell and Molecular Pathobiology)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Ind w:w="38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57"/>
        <w:gridCol w:w="796"/>
        <w:gridCol w:w="6794"/>
        <w:gridCol w:w="768"/>
        <w:gridCol w:w="719"/>
        <w:tblGridChange w:id="0">
          <w:tblGrid>
            <w:gridCol w:w="557"/>
            <w:gridCol w:w="796"/>
            <w:gridCol w:w="6794"/>
            <w:gridCol w:w="768"/>
            <w:gridCol w:w="719"/>
          </w:tblGrid>
        </w:tblGridChange>
      </w:tblGrid>
      <w:tr>
        <w:trPr>
          <w:cantSplit w:val="0"/>
          <w:trHeight w:val="107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Неделя 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6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Занятие 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7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Название 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Часы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Макс балл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eee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eeeeee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eeeee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Клеточная и молекулярная патобиология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eeeee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eeeee" w:val="clea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1-2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1-2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right="5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Лекция: Введение в клеточную и молекулярную биологию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right="5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Информационные макромолекулы: белки, нуклеиновые кислоты. ДНК как носитель генетической информации: ключевые эксперименты. Центральная догма молекулярной биологии. Роль молекулярной биологии в медицине.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right="56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1-2</w:t>
            </w:r>
          </w:p>
        </w:tc>
        <w:tc>
          <w:tcPr/>
          <w:p w:rsidR="00000000" w:rsidDel="00000000" w:rsidP="00000000" w:rsidRDefault="00000000" w:rsidRPr="00000000" w14:paraId="000000D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720" w:right="818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Практика: обзор и обсуждение исследовательских научных статей: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720" w:right="818" w:hanging="36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Жанна Мусажанова и др. Вклад генетических вариантов в риск папиллярной карциномы щитовидной железы у населения Казахстана: Изучение распространенных однонуклеотидных полиморфизмов и их клинико-патологических корреляций. Передний эндокринол 2021 doi: 10.3389/fendo.2020.543500.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720" w:right="818" w:hanging="36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5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5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Лекция: Репликация и восстановление ДНК. Механизм репликации и репарации ДНК. Гипотетические механизмы репликации ДНК. Репликационная энзимология. Молекулярные основы синтеза ДНК. Источники повреждения ДНК в клетках. Энзимология восстановления ДНК.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before="45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3-4</w:t>
            </w:r>
          </w:p>
        </w:tc>
        <w:tc>
          <w:tcPr>
            <w:vMerge w:val="restart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Практика: обзор и обсуждение исследовательских научных статей: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Жанна Мусажанова и др. Иммуногистохимический и молекулярный Анализы с упором на мезенхимальные клетки при папиллярной карциноме щитовидной железы с фиброматозом десмоидного типа. Патобиология. 2018. DOI: 10.1159/000492117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spacing w:before="40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spacing w:before="40" w:lineRule="auto"/>
              <w:ind w:left="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spacing w:before="50" w:lineRule="auto"/>
              <w:ind w:left="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spacing w:before="50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0">
            <w:pPr>
              <w:widowControl w:val="1"/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СРМ (6-10 недели): работа с литературой, над мини-проектом, написание рефлексивного эссе.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spacing w:before="45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2">
            <w:pPr>
              <w:spacing w:before="40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5">
            <w:pPr>
              <w:widowControl w:val="1"/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СРМП: презентация результатов мини-проекта.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6">
            <w:pPr>
              <w:spacing w:before="45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7">
            <w:pPr>
              <w:spacing w:before="40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MT: рефлексивное эссе + мини-проект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B">
            <w:pPr>
              <w:spacing w:before="45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C">
            <w:pPr>
              <w:spacing w:before="40" w:lineRule="auto"/>
              <w:ind w:left="5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100</w:t>
            </w:r>
          </w:p>
        </w:tc>
      </w:tr>
      <w:tr>
        <w:trPr>
          <w:cantSplit w:val="0"/>
          <w:trHeight w:val="122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5-6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Лекция: Транскрипция генетической информации. Посттранскрипционные модификации РНК.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Структура гена: промотор, экзоны, интроны, терминатор. Энзимология транскрипции. Механизм транскрипции генов: инициация, удлинение, прекращение.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Посттранскрипционное созревание мРНК: 3' полиаденилирование, 5' укупорка, удаление экзона.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5" w:lineRule="auto"/>
              <w:ind w:left="53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before="45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5-6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Практика: обзор и обсуждение исследовательских научных статей: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Мария Романо и др. Структурный взгляд на механизм репликации РНК SARS-CoV-2: Синтез РНК, Корректура и окончательное закрытие. Ячейка. 2020. doi:10.3390/cells9051267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Адриан Х. де Уайльд и др. Факторы хозяина при репликации коронавируса. Микробиология и иммунология. 2018. DOI 10.1007/82_2017_25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before="40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before="40" w:lineRule="auto"/>
              <w:ind w:left="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106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7-8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5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Лекция: Трансляция генетической информации. Посттрансляционные модификации и сворачивание белков. Структура рибосомы: рРНК и рибосомные белки. Генетический код: свойства и ключевые эксперименты. тРНК, аминоацил-тРНК-синтетазы. Механизм трансляции: инициация, удлинение, прекращение.</w:t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Rule="auto"/>
              <w:ind w:left="5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Посттрансляционные модификации белков. Сворачивание белка: сопровождающие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spacing w:before="45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7-8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numPr>
                <w:ilvl w:val="0"/>
                <w:numId w:val="5"/>
              </w:numPr>
              <w:ind w:left="720" w:right="814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Практика: обзор и обсуждение исследовательских научных статей: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5"/>
              </w:numPr>
              <w:ind w:left="720" w:right="814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Жанна Мусажанова и др. Связь между экспрессией р53-связывающего белка 1 и геномной нестабильностью при онкоцитарной фолликулярной аденоме щитовидной железы. Эндокринолог J. 2016 doi: 10.1507/endocrj.EJ15-0629.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5"/>
              </w:numPr>
              <w:ind w:left="720" w:right="814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Жанна Мусажанова и др. Новый метод диагностики фолликулярных опухолей щитовидной железы, основанный на иммунофлуоресцентном анализе экспрессии р53-связывающего белка 1: Выявление геномной нестабильности. Щитовидная железа. 2019. doi: 10.1089/thy.2018.0548.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5"/>
              </w:numPr>
              <w:ind w:left="720" w:right="814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before="40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before="40" w:lineRule="auto"/>
              <w:ind w:left="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9-10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53" w:right="28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Лекция: Регуляция экспрессии генов у человека. Структура генов у людей. Регуляция транскрипции: факторы транскрипции. Регулирование перевода: факторы перевода. Внутриклеточные пути передачи сигналов.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spacing w:before="45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ind w:left="6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9-10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ind w:left="53" w:right="28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Практика: обзор и обсуждение исследовательских научных статей: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before="40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before="40" w:lineRule="auto"/>
              <w:ind w:left="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125">
      <w:pPr>
        <w:rPr>
          <w:sz w:val="24"/>
          <w:szCs w:val="24"/>
        </w:rPr>
        <w:sectPr>
          <w:type w:val="nextPage"/>
          <w:pgSz w:h="16840" w:w="11900" w:orient="portrait"/>
          <w:pgMar w:bottom="998" w:top="1360" w:left="1180" w:right="66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90.0" w:type="dxa"/>
        <w:jc w:val="left"/>
        <w:tblInd w:w="3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"/>
        <w:gridCol w:w="795"/>
        <w:gridCol w:w="6795"/>
        <w:gridCol w:w="795"/>
        <w:gridCol w:w="750"/>
        <w:tblGridChange w:id="0">
          <w:tblGrid>
            <w:gridCol w:w="555"/>
            <w:gridCol w:w="795"/>
            <w:gridCol w:w="6795"/>
            <w:gridCol w:w="795"/>
            <w:gridCol w:w="750"/>
          </w:tblGrid>
        </w:tblGridChange>
      </w:tblGrid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5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9">
            <w:pPr>
              <w:widowControl w:val="1"/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СРМ (6-10 недели): работа с литературой, над мини-проектом, написание рефлексивного эссе.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5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5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E">
            <w:pPr>
              <w:widowControl w:val="1"/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СРМП: презентация результатов мини-проекта.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5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5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/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48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MT: рефлексивное эссе + мини-проект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5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5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5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4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Лекция: Эпигенетика, эпигенетическая регуляция экспрессии генов. Механизмы эпигенетической регуляции: метилирование ДНК.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before="45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5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numPr>
                <w:ilvl w:val="0"/>
                <w:numId w:val="3"/>
              </w:numPr>
              <w:spacing w:before="5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Практика: обзор и обсуждение исследовательских научных статей:</w:t>
            </w:r>
          </w:p>
          <w:p w:rsidR="00000000" w:rsidDel="00000000" w:rsidP="00000000" w:rsidRDefault="00000000" w:rsidRPr="00000000" w14:paraId="0000013E">
            <w:pPr>
              <w:numPr>
                <w:ilvl w:val="0"/>
                <w:numId w:val="3"/>
              </w:numPr>
              <w:spacing w:before="5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Жанна Мусажанова и др. Причинная роль дефектной экспрессии белка, поедающего митохондрии, в накоплении митохондрий в опухолях онкоцитарных клеток щитовидной железы. Наука о раке. 2020. doi: 10.1111/cas.14501.</w:t>
            </w:r>
          </w:p>
          <w:p w:rsidR="00000000" w:rsidDel="00000000" w:rsidP="00000000" w:rsidRDefault="00000000" w:rsidRPr="00000000" w14:paraId="0000013F">
            <w:pPr>
              <w:numPr>
                <w:ilvl w:val="0"/>
                <w:numId w:val="3"/>
              </w:numPr>
              <w:spacing w:before="5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spacing w:before="40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1">
            <w:pPr>
              <w:spacing w:before="40" w:lineRule="auto"/>
              <w:ind w:left="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5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12-13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5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Rule="auto"/>
              <w:ind w:left="4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Лекция: Современные методы в медицине. Технология ДНК, секвенирование генома: метод Сэнгера, секвенирование следующего поколения, иммуногистохимия, РЫБА. Геномные данные как путь к персонализированной медицине: SNPS, проект "Геном человека". Базы данных: Ensembl, NCBI, Cosmic и др.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spacing w:before="45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5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12-13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9">
            <w:pPr>
              <w:spacing w:before="50" w:lineRule="auto"/>
              <w:ind w:left="4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Практика: обзор и обсуждение исследовательских научных статей: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spacing w:before="40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spacing w:before="40" w:lineRule="auto"/>
              <w:ind w:left="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138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Rule="auto"/>
              <w:ind w:left="5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14-15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Rule="auto"/>
              <w:ind w:left="5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="242" w:lineRule="auto"/>
              <w:ind w:left="4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Лекция: Генетика и геномика рака, Генетика и геномика рака, наследственные синдромы рака и семейное возникновение рака.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spacing w:before="45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5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14-15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4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Практика: обзор и обсуждение исследовательских научных статей: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spacing w:before="40" w:lineRule="auto"/>
              <w:ind w:left="59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spacing w:before="40" w:lineRule="auto"/>
              <w:ind w:left="5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8">
            <w:pPr>
              <w:widowControl w:val="1"/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СРМ (11-15 недели): работа с литературой, написание рефлексивного эссе. Работа над мини-проектом.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spacing w:before="40" w:lineRule="auto"/>
              <w:ind w:left="59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before="40" w:lineRule="auto"/>
              <w:ind w:left="54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D">
            <w:pPr>
              <w:widowControl w:val="1"/>
              <w:shd w:fill="f8f9fa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СРМП: презентация результатов мини-проекта.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spacing w:before="40" w:lineRule="auto"/>
              <w:ind w:left="59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before="40" w:lineRule="auto"/>
              <w:ind w:left="54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0" w:lineRule="auto"/>
              <w:ind w:left="5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РК2: рефлексивное эссе+мини-проект,  включает 5 вопросов из лекций и статей для практического обсуждения.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before="40" w:lineRule="auto"/>
              <w:ind w:left="59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spacing w:before="40" w:lineRule="auto"/>
              <w:ind w:left="54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165">
      <w:pPr>
        <w:tabs>
          <w:tab w:val="left" w:pos="5604"/>
          <w:tab w:val="left" w:pos="8415"/>
        </w:tabs>
        <w:spacing w:before="87" w:line="261" w:lineRule="auto"/>
        <w:ind w:right="164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sz w:val="24"/>
          <w:szCs w:val="24"/>
          <w:rtl w:val="0"/>
        </w:rPr>
        <w:t xml:space="preserve">Заведующая отделением _________________ Сарсенова Л.К.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1"/>
        <w:jc w:val="both"/>
        <w:rPr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sz w:val="24"/>
          <w:szCs w:val="24"/>
          <w:rtl w:val="0"/>
        </w:rPr>
        <w:t xml:space="preserve">Заведующий методическим отделом факультета ___________________Джумашева Р.Т.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pos="5604"/>
          <w:tab w:val="left" w:pos="8415"/>
        </w:tabs>
        <w:spacing w:before="87" w:line="261" w:lineRule="auto"/>
        <w:ind w:right="1641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280" w:top="1420" w:left="1180" w:right="66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Pr>
      <w:lang w:eastAsia="en-US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rPr>
      <w:sz w:val="28"/>
      <w:szCs w:val="28"/>
    </w:rPr>
  </w:style>
  <w:style w:type="paragraph" w:styleId="a5">
    <w:name w:val="List Paragraph"/>
    <w:basedOn w:val="a"/>
    <w:uiPriority w:val="1"/>
    <w:qFormat w:val="1"/>
  </w:style>
  <w:style w:type="paragraph" w:styleId="TableParagraph" w:customStyle="1">
    <w:name w:val="Table Paragraph"/>
    <w:basedOn w:val="a"/>
    <w:uiPriority w:val="1"/>
    <w:qFormat w:val="1"/>
  </w:style>
  <w:style w:type="paragraph" w:styleId="a6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7" w:customStyle="1">
    <w:basedOn w:val="TableNormal0"/>
    <w:tblPr>
      <w:tblStyleRowBandSize w:val="1"/>
      <w:tblStyleColBandSize w:val="1"/>
    </w:tblPr>
  </w:style>
  <w:style w:type="table" w:styleId="a8" w:customStyle="1">
    <w:basedOn w:val="TableNormal0"/>
    <w:tblPr>
      <w:tblStyleRowBandSize w:val="1"/>
      <w:tblStyleColBandSize w:val="1"/>
    </w:tblPr>
  </w:style>
  <w:style w:type="table" w:styleId="a9" w:customStyle="1">
    <w:basedOn w:val="TableNormal0"/>
    <w:tblPr>
      <w:tblStyleRowBandSize w:val="1"/>
      <w:tblStyleColBandSize w:val="1"/>
    </w:tblPr>
  </w:style>
  <w:style w:type="table" w:styleId="aa" w:customStyle="1">
    <w:basedOn w:val="TableNormal0"/>
    <w:tblPr>
      <w:tblStyleRowBandSize w:val="1"/>
      <w:tblStyleColBandSize w:val="1"/>
    </w:tblPr>
  </w:style>
  <w:style w:type="table" w:styleId="ab" w:customStyle="1">
    <w:basedOn w:val="TableNormal0"/>
    <w:tblPr>
      <w:tblStyleRowBandSize w:val="1"/>
      <w:tblStyleColBandSize w:val="1"/>
    </w:tblPr>
  </w:style>
  <w:style w:type="table" w:styleId="ac" w:customStyle="1">
    <w:basedOn w:val="TableNormal0"/>
    <w:tblPr>
      <w:tblStyleRowBandSize w:val="1"/>
      <w:tblStyleColBandSize w:val="1"/>
    </w:tblPr>
  </w:style>
  <w:style w:type="table" w:styleId="ad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lecturi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JS5oEkrq86ogKkMqRYr2C2RcAQ==">AMUW2mWoki2M5dnCCdiAMDQORmQFTDTpRl6hntKJ8BIKFCM6ZxMYRmawOksk1tavxoAKn8RPiZMt/k/u9+5rsTD3ufXCsQ/rXDXUSLmgGc1eZtUTwrwOrTXf4DgPXflPeA+VlHE2k3UJ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2021-12-21T18:14:00Z</dcterms:created>
  <dc:creator>Жанна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2021-05-20T00:00:00Z</vt:filetime>
  </property>
</Properties>
</file>